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D56" w:rsidRPr="00DD5D56" w:rsidRDefault="00DD5D56" w:rsidP="00DD5D56">
      <w:pPr>
        <w:shd w:val="clear" w:color="auto" w:fill="F5F5F5"/>
        <w:spacing w:after="0" w:line="240" w:lineRule="auto"/>
        <w:jc w:val="center"/>
        <w:outlineLvl w:val="1"/>
        <w:rPr>
          <w:rFonts w:ascii="Arial" w:eastAsia="Times New Roman" w:hAnsi="Arial" w:cs="Arial"/>
          <w:color w:val="34495E"/>
          <w:sz w:val="45"/>
          <w:szCs w:val="45"/>
          <w:lang w:eastAsia="es-AR"/>
        </w:rPr>
      </w:pPr>
      <w:r w:rsidRPr="00DD5D56">
        <w:rPr>
          <w:rFonts w:ascii="Arial" w:eastAsia="Times New Roman" w:hAnsi="Arial" w:cs="Arial"/>
          <w:b/>
          <w:bCs/>
          <w:color w:val="34495E"/>
          <w:sz w:val="45"/>
          <w:szCs w:val="45"/>
          <w:lang w:eastAsia="es-AR"/>
        </w:rPr>
        <w:t>Digesto Municipal de La Plata</w:t>
      </w:r>
    </w:p>
    <w:p w:rsidR="00DD5D56" w:rsidRPr="00DD5D56" w:rsidRDefault="00DD5D56" w:rsidP="00DD5D5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4495E"/>
          <w:sz w:val="21"/>
          <w:szCs w:val="21"/>
          <w:lang w:eastAsia="es-AR"/>
        </w:rPr>
      </w:pPr>
      <w:r w:rsidRPr="00DD5D56">
        <w:rPr>
          <w:rFonts w:ascii="Arial" w:eastAsia="Times New Roman" w:hAnsi="Arial" w:cs="Arial"/>
          <w:noProof/>
          <w:color w:val="428BCA"/>
          <w:sz w:val="21"/>
          <w:szCs w:val="21"/>
          <w:lang w:eastAsia="es-AR"/>
        </w:rPr>
        <w:drawing>
          <wp:inline distT="0" distB="0" distL="0" distR="0">
            <wp:extent cx="190500" cy="209550"/>
            <wp:effectExtent l="0" t="0" r="0" b="0"/>
            <wp:docPr id="1" name="Imagen 1" descr="Imprimir texto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rimir texto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Expte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. 49850 y </w:t>
      </w: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ag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DD5D56" w:rsidRPr="00DD5D56" w:rsidRDefault="00DD5D56" w:rsidP="00DD5D56">
      <w:pPr>
        <w:spacing w:after="150" w:line="240" w:lineRule="auto"/>
        <w:jc w:val="right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LA PLATA, 16 de diciembre de 2009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El Concejo Deliberante, en su Sesión Ordinaria N° 33 -3ra. de Prórroga-, celebrada en el día de la fecha, ha sancionado la siguiente:</w:t>
      </w:r>
    </w:p>
    <w:p w:rsidR="00DD5D56" w:rsidRPr="00DD5D56" w:rsidRDefault="00DD5D56" w:rsidP="00DD5D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ORDENANZA 10661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Créase el Programa de Gestión Integral de Residuos Sólidos Urbanos, el que tiene por objeto:</w:t>
      </w:r>
    </w:p>
    <w:p w:rsidR="00DD5D56" w:rsidRPr="00DD5D56" w:rsidRDefault="00DD5D56" w:rsidP="00DD5D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La educación, información y capacitación ciudadana en todos los ámbitos públicos y privados sobre el tratamiento y disposición final de los Residuos Sólidos Urbanos (R.S.U.), para su óptima gestión.</w:t>
      </w:r>
    </w:p>
    <w:p w:rsidR="00DD5D56" w:rsidRPr="00DD5D56" w:rsidRDefault="00DD5D56" w:rsidP="00DD5D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La minimización y </w:t>
      </w:r>
      <w:proofErr w:type="gram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separación  en</w:t>
      </w:r>
      <w:proofErr w:type="gram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origen; la recuperación, el reciclado y/o el compostaje de los R.S.U., debiendo ser recolectados en vehículos aptos para tal fin.</w:t>
      </w:r>
    </w:p>
    <w:p w:rsidR="00DD5D56" w:rsidRPr="00DD5D56" w:rsidRDefault="00DD5D56" w:rsidP="00DD5D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La reducción progresiva de los R.S.U. que se depositan en los predios de disposición final, la cual debe </w:t>
      </w:r>
      <w:proofErr w:type="gram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cuantificarse  anualmente</w:t>
      </w:r>
      <w:proofErr w:type="gram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>.</w:t>
      </w:r>
    </w:p>
    <w:p w:rsidR="00DD5D56" w:rsidRPr="00DD5D56" w:rsidRDefault="00DD5D56" w:rsidP="00DD5D56">
      <w:pPr>
        <w:numPr>
          <w:ilvl w:val="0"/>
          <w:numId w:val="1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La ejecución del ciclo completo de la Gestión Integral de R.S.U en el territorio del Partido de la Ciudad de La Plata.   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2°.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Definiciones: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Los Residuos Sólidos Urbanos (R.S.U.) son todos los elementos, objetos o sustancias generados y desechados producto de actividades realizadas en los núcleos urbanos y/o rurales, comprendiendo aquellos cuyo origen sea doméstico, comercial, institucional, asistencial e industrial no especial, ni peligroso, asimilable a los residuos domiciliarios. Se integran en esta definición los llamados residuos especiales de origen domiciliario, como ser pilas o baterías, artefactos eléctricos y electrónicos, medicinales y neumáticos.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Entiéndase como disposición inicial a la acción por la cual el generador de los R.S.U. los deposita o abandona en la forma y condiciones que </w:t>
      </w:r>
      <w:proofErr w:type="gram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determine  la</w:t>
      </w:r>
      <w:proofErr w:type="gram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autoridad municipal de aplicación.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3°.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La Agencia Ambiental Municipal, será la Autoridad de Aplicación del Programa de Gestión Integral de Residuos Sólidos Urbanos, teniendo las siguientes obligaciones y facultades, a saber:</w:t>
      </w:r>
    </w:p>
    <w:p w:rsidR="00DD5D56" w:rsidRPr="00DD5D56" w:rsidRDefault="00DD5D56" w:rsidP="00DD5D5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Deberá instrumentar todos los medios necesarios para el funcionamiento del programa, su operatividad y mejoramiento continuo.</w:t>
      </w:r>
    </w:p>
    <w:p w:rsidR="00DD5D56" w:rsidRPr="00DD5D56" w:rsidRDefault="00DD5D56" w:rsidP="00DD5D5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Tendrá a su cargo el control y seguimiento del programa.</w:t>
      </w:r>
    </w:p>
    <w:p w:rsidR="00DD5D56" w:rsidRPr="00DD5D56" w:rsidRDefault="00DD5D56" w:rsidP="00DD5D5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Planificará y fijará objetivos de corto, mediano y largo plazo, debiendo conformar un cronograma de Gestión Integral de Residuos Sólidos Urbanos para la concreción de las distintas etapas.</w:t>
      </w:r>
    </w:p>
    <w:p w:rsidR="00DD5D56" w:rsidRPr="00DD5D56" w:rsidRDefault="00DD5D56" w:rsidP="00DD5D5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Instrumentará los mecanismos necesarios para estimular y generar incentivos ciudadanos para obtener los mejores resultados del Programa.</w:t>
      </w:r>
    </w:p>
    <w:p w:rsidR="00DD5D56" w:rsidRPr="00DD5D56" w:rsidRDefault="00DD5D56" w:rsidP="00DD5D56">
      <w:pPr>
        <w:numPr>
          <w:ilvl w:val="0"/>
          <w:numId w:val="2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Presentará ante el Concejo Deliberante, informes bimestrales sobre estadísticas referidas al funcionamiento del Programa de Gestión Integral de Residuos Sólidos Urbanos; debiendo especificar la cantidad de residuos sólidos urbanos depositados en predios de disposición final.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4°.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Programa Permanente de Educación Ambiental: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El Departamento Ejecutivo a través de la Autoridad de Aplicación, deberá, en un plazo no mayor a los 60 días a partir de la promulgación de la presente, implementar y desarrollar un Programa Permanente de Educación Ambiental (P.P.E.A.). El mismo estará realizado por personal idóneo, dirigido a todos los generadores R.S.U., sean hogares, comercios, escuelas, públicas y/o privadas, e instituciones entre otros.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El P.P.E.A. tendrá por objeto difundir, concientizar, educar y capacitar a la población en general sobre el Programa de Gestión Integral de Residuos, basándose en la minimización, selección, reutilización, reciclado y/o compostaje.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5°.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 La separación y/o diferenciación de los R.S.U. se dispondrá mediante bolsas de distintos colores y/o sistema de contenedores diferenciadores, debiendo el área municipal de 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lastRenderedPageBreak/>
        <w:t xml:space="preserve">aplicación determinar el método de seleccionar los residuos </w:t>
      </w:r>
      <w:proofErr w:type="gram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secos  y</w:t>
      </w:r>
      <w:proofErr w:type="gram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húmedos/ orgánicos e inorgánicos.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Los residuos especiales domésticos o asimilables a los R.S.U., serán separados desde su generación para obtener un tratamiento especial. Se encuentran entre ellos: las pilas y baterías, los residuos de aparatos eléctricos y electrónicos, los medicamentos, envases de </w:t>
      </w: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biocidas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>, restos de pinturas, neumáticos y aceites comestibles usados, entre otros.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La Autoridad de Aplicación podrá realizar programas especiales de recuperación de R.S.U. (aceites vegetales usados, neumáticos, pañales descartables) teniendo en cuenta los lineamientos de la presente Ordenanza.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br/>
        <w:t>En el caso particular de los neumáticos, electrónicos, baterías recargables y/o pilas, no podrán disponerse en Rellenos Sanitarios.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Los residuos generados por trabajos de poda y/o </w:t>
      </w: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parquización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no podrán ser recolectados o mezclados con otra clase de residuos.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6°.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El Departamento Ejecutivo deberá a partir de octubre/2010 suplantar las bolsas de polietileno utilizadas para la separación de los residuos secos (</w:t>
      </w:r>
      <w:r w:rsidR="001B10B2" w:rsidRPr="00DD5D56">
        <w:rPr>
          <w:rFonts w:ascii="Arial" w:eastAsia="Times New Roman" w:hAnsi="Arial" w:cs="Arial"/>
          <w:sz w:val="20"/>
          <w:szCs w:val="20"/>
          <w:lang w:eastAsia="es-AR"/>
        </w:rPr>
        <w:t>verdes) por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bolsas biodegradables, según los parámetros establecidos en la ley provincial correspondiente. En lo referente a las bolsas utilizadas para residuos no habituales por parte de las empresas y/o cooperativas contratadas por el municipio, deberán a partir de diciembre del 2010 utilizar bolsas biodegradables.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7°.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 El Departamento Ejecutivo designará los sitios o Centros de tratamiento de los residuos, recuperables y reciclables producto de la recolección inicial diferenciada, donde se acopiarán transitoriamente para una segunda selección de materiales. Estos </w:t>
      </w:r>
      <w:r w:rsidR="001B10B2" w:rsidRPr="00DD5D56">
        <w:rPr>
          <w:rFonts w:ascii="Arial" w:eastAsia="Times New Roman" w:hAnsi="Arial" w:cs="Arial"/>
          <w:sz w:val="20"/>
          <w:szCs w:val="20"/>
          <w:lang w:eastAsia="es-AR"/>
        </w:rPr>
        <w:t>sitios deberán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poseer la infraestructura necesaria y estudios pertinentes para evitar la degradación del entorno. Asimismo, deberá destinarse un predio para el tratamiento de los residuos orgánicos aptos para el compostaje y/o digestión anaeróbica.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8°.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La fracción de los Residuos Sólidos Urbanos (R.S.U.) que no puedan ser recuperados y/o reciclados y/o tratados por las tecnologías disponibles, deberá disponerse y/o confinarse en un predio apto para ello, de manera segura. El municipio deberá realizar previamente, los estudios de factibilidad, hidrológicos, geológicos y evaluación impacto ambiental, de acuerdo a los requisitos expresados en las Legislaciones Nacionales y Provinciales vigentes en la materia, para determinar la localización del sitio más adecuado ambientalmente. Estos predios, deberán poseer zonas buffer o también denominadas barreras de amortiguación de contaminantes, que rodeará todo su perímetro.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9°.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 Ninguna de las tecnologías utilizadas en el tratamiento o recuperación de elementos o de energía, podrán emitir dioxinas y/o </w:t>
      </w: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furanos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. En el caso de producirse otro tipo de gases, la Autoridad de Aplicación controlará eficazmente sus emisiones, las que regulará según los criterios y normas vigentes en </w:t>
      </w:r>
      <w:r w:rsidR="001B10B2" w:rsidRPr="00DD5D56">
        <w:rPr>
          <w:rFonts w:ascii="Arial" w:eastAsia="Times New Roman" w:hAnsi="Arial" w:cs="Arial"/>
          <w:sz w:val="20"/>
          <w:szCs w:val="20"/>
          <w:lang w:eastAsia="es-AR"/>
        </w:rPr>
        <w:t>la Unión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Europea, cuando las normas nacionales y provinciales sean menos estrictas, de acuerdo a lo que establezca el Decreto Reglamentario de la presente.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10°.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El Departamento Ejecutivo deberá fomentar la participación en la Gestión Integral de los R.S.U., a los trabajadores no formales o recuperadores urbanos, mediante la formación de cooperativas. Estas deberán cumplir con los requisitos de la Legislación Nacional y Provincial Vigente en la materia.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El personal afectado a la selección, manipuleo y acopio transitorio de los R.S.U. en los sitios o centros dispuestos y/o autorizados por el municipio deberá cumplir con las medidas de seguridad e higiene como lo establece la legislación vigente.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11°.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La Autoridad de Aplicación creará un Registro Único de Recuperadores Urbanos a los efectos de proveerles en forma gratuita:</w:t>
      </w:r>
    </w:p>
    <w:p w:rsidR="00DD5D56" w:rsidRPr="00DD5D56" w:rsidRDefault="00DD5D56" w:rsidP="00DD5D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Capacitación sanitaria para prevención de accidentes y enfermedades en el desarrollo de su actividad.</w:t>
      </w:r>
    </w:p>
    <w:p w:rsidR="00DD5D56" w:rsidRPr="00DD5D56" w:rsidRDefault="00DD5D56" w:rsidP="00DD5D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Vacunación adecuada a la actividad que desempeña.</w:t>
      </w:r>
    </w:p>
    <w:p w:rsidR="00DD5D56" w:rsidRPr="00DD5D56" w:rsidRDefault="00DD5D56" w:rsidP="00DD5D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Credencial y libreta sanitaria donde consten los datos que la Autoridad de Aplicación considere necesario.</w:t>
      </w:r>
    </w:p>
    <w:p w:rsidR="00DD5D56" w:rsidRPr="00DD5D56" w:rsidRDefault="00DD5D56" w:rsidP="00DD5D56">
      <w:pPr>
        <w:numPr>
          <w:ilvl w:val="0"/>
          <w:numId w:val="3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Asesoramiento para la incorporación al trabajo formal mediante cooperativas y otras formas de emprendimiento productivos.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12°.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El Departamento Ejecutivo, mediante el área pertinente, deberá estimular y facilitar estudios de mercado, y de logística necesaria en la búsqueda de una mejor oferta en 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lastRenderedPageBreak/>
        <w:t>cuanto la comercialización  de los materiales recuperados y reciclables, así como el correspondiente asesoramiento o asistencia técnica a las cooperativas de recuperadores, pudiendo brindar asistencia financiera a las mismas.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br/>
      </w: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13°.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Consejo de Control y Seguimiento: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La Autoridad de Aplicación, en un plazo de 60 días, deberá conformar un Consejo de Control y Seguimiento del Programa de Gestión Integral de R.S.U., conformado por un (1) representante por cada Organización No Gubernamental (</w:t>
      </w: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ONG`s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>), que aborden las problemáticas ambientales y con Personería Jurídica Provincial, debiendo poseer una antigüedad de dos (2) años de vigencia, dos (2) representantes del Departamento Ejecutivo, dos (2) representantes de la Comisión de Ecología y Medio Ambiente del Concejo Deliberante y un (1) miembro por la mayoría y otro por la minoría que disponga el Presidente del Concejo Deliberante. Los integrantes del mismo cumplirán funciones ad honorem.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El Consejo de Control y Seguimiento deberá:</w:t>
      </w:r>
    </w:p>
    <w:p w:rsidR="00DD5D56" w:rsidRPr="00DD5D56" w:rsidRDefault="00DD5D56" w:rsidP="00DD5D5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Dictarse un reglamento interno para su funcionamiento.</w:t>
      </w:r>
    </w:p>
    <w:p w:rsidR="00DD5D56" w:rsidRPr="00DD5D56" w:rsidRDefault="00DD5D56" w:rsidP="00DD5D5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Participar en la Reglamentación de la presente Ordenanza.</w:t>
      </w:r>
    </w:p>
    <w:p w:rsidR="00DD5D56" w:rsidRPr="00DD5D56" w:rsidRDefault="00DD5D56" w:rsidP="00DD5D5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Requerir toda información necesaria con relación al Programa de Gestión Integral de R.S.U. al Departamento Ejecutivo.</w:t>
      </w:r>
    </w:p>
    <w:p w:rsidR="00DD5D56" w:rsidRPr="00DD5D56" w:rsidRDefault="00DD5D56" w:rsidP="00DD5D5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Llevar el seguimiento y monitoreo de dicho programa.</w:t>
      </w:r>
    </w:p>
    <w:p w:rsidR="00DD5D56" w:rsidRPr="00DD5D56" w:rsidRDefault="00DD5D56" w:rsidP="00DD5D56">
      <w:pPr>
        <w:numPr>
          <w:ilvl w:val="0"/>
          <w:numId w:val="4"/>
        </w:numPr>
        <w:spacing w:after="0" w:line="240" w:lineRule="auto"/>
        <w:ind w:left="270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sz w:val="20"/>
          <w:szCs w:val="20"/>
          <w:lang w:eastAsia="es-AR"/>
        </w:rPr>
        <w:t>Diseñar y participar políticas de bonificaciones tributarias.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14°.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 La Autoridad de Aplicación, deberá habilitar en un plazo de 30 días un REGISTRO DE INSCRIPCION DE ONG`S, en donde las instituciones tendrán que inscribirse obligatoriamente para posteriormente poder integrar el Consejo de Control y </w:t>
      </w:r>
      <w:r w:rsidR="001B10B2" w:rsidRPr="00DD5D56">
        <w:rPr>
          <w:rFonts w:ascii="Arial" w:eastAsia="Times New Roman" w:hAnsi="Arial" w:cs="Arial"/>
          <w:sz w:val="20"/>
          <w:szCs w:val="20"/>
          <w:lang w:eastAsia="es-AR"/>
        </w:rPr>
        <w:t>Seguimiento creado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en el artículo anterior.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15°.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El Departamento Ejecutivo podrá celebrar convenios y/o acuerdos con la UNLP u Organismos Públicos y/o Privados, Nacionales, Provinciales y/o Municipales para la realización de estudios y/o estadísticas referidas a la presente, previa información al Consejo de Control y Seguimiento y Concejo Deliberante.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16°.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 El Departamento Ejecutivo podrá celebrar convenios con los municipios del Consorcios Región Capital para la implementación del presente Programa, debiendo los mismos ser refrendados </w:t>
      </w:r>
      <w:r w:rsidR="001B10B2" w:rsidRPr="00DD5D56">
        <w:rPr>
          <w:rFonts w:ascii="Arial" w:eastAsia="Times New Roman" w:hAnsi="Arial" w:cs="Arial"/>
          <w:sz w:val="20"/>
          <w:szCs w:val="20"/>
          <w:lang w:eastAsia="es-AR"/>
        </w:rPr>
        <w:t>por el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Concejo Deliberante. Se prohíbe el ingreso de R.S.U. provenientes de otros Distritos, salvo los que se contemplan en el presente artículo mediante convenio.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17°.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 El Departamento Ejecutivo a partir del año 2010 podrá promover bonificaciones en el pago de Tasas Municipales a los sectores Industriales radicados en el Partido que demuestren fehacientemente, haber realizado políticas/acciones de reducción en la generación de envoltorios, envases y/o </w:t>
      </w: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packaging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de sus productos, en búsqueda del rediseño de los mismos.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18°.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 La reducción de la generación de residuos, por parte de los fabricantes radicados en el Partido de La Plata podría encuadrarse en sistemas de devolución, depósito y retorno de envases a </w:t>
      </w:r>
      <w:r w:rsidR="001B10B2" w:rsidRPr="00DD5D56">
        <w:rPr>
          <w:rFonts w:ascii="Arial" w:eastAsia="Times New Roman" w:hAnsi="Arial" w:cs="Arial"/>
          <w:sz w:val="20"/>
          <w:szCs w:val="20"/>
          <w:lang w:eastAsia="es-AR"/>
        </w:rPr>
        <w:t>productor, rediseño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 xml:space="preserve"> de productos, envases y embalajes no reciclables ni </w:t>
      </w:r>
      <w:proofErr w:type="spellStart"/>
      <w:r w:rsidRPr="00DD5D56">
        <w:rPr>
          <w:rFonts w:ascii="Arial" w:eastAsia="Times New Roman" w:hAnsi="Arial" w:cs="Arial"/>
          <w:sz w:val="20"/>
          <w:szCs w:val="20"/>
          <w:lang w:eastAsia="es-AR"/>
        </w:rPr>
        <w:t>com</w:t>
      </w:r>
      <w:bookmarkStart w:id="0" w:name="_GoBack"/>
      <w:bookmarkEnd w:id="0"/>
      <w:r w:rsidRPr="00DD5D56">
        <w:rPr>
          <w:rFonts w:ascii="Arial" w:eastAsia="Times New Roman" w:hAnsi="Arial" w:cs="Arial"/>
          <w:sz w:val="20"/>
          <w:szCs w:val="20"/>
          <w:lang w:eastAsia="es-AR"/>
        </w:rPr>
        <w:t>postables</w:t>
      </w:r>
      <w:proofErr w:type="spellEnd"/>
      <w:r w:rsidRPr="00DD5D56">
        <w:rPr>
          <w:rFonts w:ascii="Arial" w:eastAsia="Times New Roman" w:hAnsi="Arial" w:cs="Arial"/>
          <w:sz w:val="20"/>
          <w:szCs w:val="20"/>
          <w:lang w:eastAsia="es-AR"/>
        </w:rPr>
        <w:t>, y otras medidas tendientes a extender la responsabilidad de los productores por sus artículos una vez que entran en desuso.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19°.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El Departamento Ejecutivo y el Concejo Deliberante, deberán implementar, una gestión responsable de R.S.U. en las compras de insumos, priorizando la compra de artículos fabricados con material reciclado post-consumo, bienes de larga duración en reemplazo de los artículos descartables, y materiales que utilicen menos envases y embalajes.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20°.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La Autoridad de Aplicación, instrumentará los mecanismos necesarios para un eficaz tratamiento de separación en origen y recuperación de los Residuos Sólidos Urbanos generados en los Organismos Públicos   Provinciales y/o Nacionales radicados en el Partido.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21°.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Quedará prohibido a partir del año 2016, la Disposición Final y/o confinamiento de los Residuos Sólidos Reciclables y/o Recuperables del Partido de La Plata.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22°. 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No quedarán incluidos en la presente para su tratamiento los residuos patológicos y/o patogénicos, residuos peligrosos y/o especiales y/o radioactivos contemplados por las normas nacionales y provinciales.</w:t>
      </w:r>
    </w:p>
    <w:p w:rsidR="00DD5D56" w:rsidRPr="00DD5D56" w:rsidRDefault="00DD5D56" w:rsidP="00DD5D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23°.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El Departamento Ejecutivo deberá confeccionar el Decreto Reglamentario en un plazo no mayor a los 90 días a partir de la presente.</w:t>
      </w:r>
    </w:p>
    <w:p w:rsidR="00DD5D56" w:rsidRPr="00DD5D56" w:rsidRDefault="00DD5D56" w:rsidP="00DD5D56">
      <w:pPr>
        <w:spacing w:after="150" w:line="240" w:lineRule="auto"/>
        <w:rPr>
          <w:rFonts w:ascii="Arial" w:eastAsia="Times New Roman" w:hAnsi="Arial" w:cs="Arial"/>
          <w:sz w:val="20"/>
          <w:szCs w:val="20"/>
          <w:lang w:eastAsia="es-AR"/>
        </w:rPr>
      </w:pPr>
      <w:r w:rsidRPr="00DD5D56">
        <w:rPr>
          <w:rFonts w:ascii="Arial" w:eastAsia="Times New Roman" w:hAnsi="Arial" w:cs="Arial"/>
          <w:b/>
          <w:bCs/>
          <w:sz w:val="20"/>
          <w:szCs w:val="20"/>
          <w:lang w:eastAsia="es-AR"/>
        </w:rPr>
        <w:t>ARTICULO 24°.</w:t>
      </w:r>
      <w:r w:rsidRPr="00DD5D56">
        <w:rPr>
          <w:rFonts w:ascii="Arial" w:eastAsia="Times New Roman" w:hAnsi="Arial" w:cs="Arial"/>
          <w:sz w:val="20"/>
          <w:szCs w:val="20"/>
          <w:lang w:eastAsia="es-AR"/>
        </w:rPr>
        <w:t> De forma.</w:t>
      </w:r>
    </w:p>
    <w:p w:rsidR="004110AB" w:rsidRDefault="004110AB"/>
    <w:sectPr w:rsidR="004110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189D"/>
    <w:multiLevelType w:val="multilevel"/>
    <w:tmpl w:val="C8EA3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8794D"/>
    <w:multiLevelType w:val="multilevel"/>
    <w:tmpl w:val="C1D6B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2670D"/>
    <w:multiLevelType w:val="multilevel"/>
    <w:tmpl w:val="50A8B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577724"/>
    <w:multiLevelType w:val="multilevel"/>
    <w:tmpl w:val="D494B1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6"/>
    <w:rsid w:val="001B10B2"/>
    <w:rsid w:val="004110AB"/>
    <w:rsid w:val="00D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ECB1"/>
  <w15:chartTrackingRefBased/>
  <w15:docId w15:val="{0225559D-EE6F-4D26-AE72-5FCD3D9A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DD5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DD5D56"/>
    <w:rPr>
      <w:rFonts w:ascii="Times New Roman" w:eastAsia="Times New Roman" w:hAnsi="Times New Roman" w:cs="Times New Roman"/>
      <w:b/>
      <w:bCs/>
      <w:sz w:val="36"/>
      <w:szCs w:val="36"/>
      <w:lang w:eastAsia="es-AR"/>
    </w:rPr>
  </w:style>
  <w:style w:type="character" w:styleId="Textoennegrita">
    <w:name w:val="Strong"/>
    <w:basedOn w:val="Fuentedeprrafopredeter"/>
    <w:uiPriority w:val="22"/>
    <w:qFormat/>
    <w:rsid w:val="00DD5D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5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42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304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10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concejodeliberante.laplata.gob.ar/digesto/or11000/or10661.asp?ver=&amp;reso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1874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2021-04-29T00:35:00Z</dcterms:created>
  <dcterms:modified xsi:type="dcterms:W3CDTF">2021-04-29T00:37:00Z</dcterms:modified>
</cp:coreProperties>
</file>